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1. SHARE</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PRACTICE EXERCISE: CALCULATING THE REAL AMOUNT ALLOCATED TO EDUCATION OVER TIME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use a practice budget to understand the impact of inflation and learn how to calculate the real allocation to education over time.</w:t>
      </w:r>
      <w:r w:rsidDel="00000000" w:rsidR="00000000" w:rsidRPr="00000000">
        <w:rPr>
          <w:rtl w:val="0"/>
        </w:rPr>
      </w:r>
    </w:p>
    <w:p w:rsidR="00000000" w:rsidDel="00000000" w:rsidP="00000000" w:rsidRDefault="00000000" w:rsidRPr="00000000" w14:paraId="00000006">
      <w:pPr>
        <w:shd w:fill="ffffff" w:val="clear"/>
        <w:rPr>
          <w:b w:val="1"/>
          <w:color w:val="ffffff"/>
          <w:sz w:val="28"/>
          <w:szCs w:val="28"/>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spacing w:after="110" w:line="259" w:lineRule="auto"/>
        <w:ind w:left="0" w:firstLine="0"/>
        <w:rPr/>
      </w:pPr>
      <w:r w:rsidDel="00000000" w:rsidR="00000000" w:rsidRPr="00000000">
        <w:rPr>
          <w:rtl w:val="0"/>
        </w:rPr>
        <w:t xml:space="preserve">In this exercise, users will learn how to adjust a budget for inflation.</w:t>
      </w:r>
    </w:p>
    <w:p w:rsidR="00000000" w:rsidDel="00000000" w:rsidP="00000000" w:rsidRDefault="00000000" w:rsidRPr="00000000" w14:paraId="00000009">
      <w:pPr>
        <w:spacing w:after="113" w:line="255" w:lineRule="auto"/>
        <w:ind w:left="0" w:firstLine="0"/>
        <w:rPr/>
      </w:pPr>
      <w:r w:rsidDel="00000000" w:rsidR="00000000" w:rsidRPr="00000000">
        <w:rPr>
          <w:rtl w:val="0"/>
        </w:rPr>
        <w:t xml:space="preserve">Budgets are presented in nominal amounts, which are the actual figures allocated to, or spent on education. Real amounts, on the other hand, are amounts that have been adjusted for inflation. Inflation is the rising price of goods or services, which means that $1 in your pocket today does not buy you as much as $1 bought you last year. So, if you compare budget allocations over time, without taking inflation into account, you’ll get a skewed picture.</w:t>
      </w:r>
    </w:p>
    <w:p w:rsidR="00000000" w:rsidDel="00000000" w:rsidP="00000000" w:rsidRDefault="00000000" w:rsidRPr="00000000" w14:paraId="0000000A">
      <w:pPr>
        <w:spacing w:after="114" w:line="255" w:lineRule="auto"/>
        <w:ind w:left="0" w:right="121" w:firstLine="0"/>
        <w:rPr/>
      </w:pPr>
      <w:r w:rsidDel="00000000" w:rsidR="00000000" w:rsidRPr="00000000">
        <w:rPr>
          <w:rtl w:val="0"/>
        </w:rPr>
        <w:t xml:space="preserve">Adjusting budget figures for the effects of inflation helps to compare figures for different years. This requires the use of a deflator which will allow you to convert nominal amounts to real amounts. The deflator is a number value that varies from country to country and from year to year, depending on the inflation rate. You should be able to find out which deflator to use by consulting with the Ministry of Finance or the National Statistics Office, and it can normally be found in government budget documents, too.</w:t>
      </w:r>
    </w:p>
    <w:p w:rsidR="00000000" w:rsidDel="00000000" w:rsidP="00000000" w:rsidRDefault="00000000" w:rsidRPr="00000000" w14:paraId="0000000B">
      <w:pPr>
        <w:spacing w:after="113" w:line="256" w:lineRule="auto"/>
        <w:ind w:left="0" w:right="130" w:firstLine="0"/>
        <w:rPr/>
      </w:pPr>
      <w:r w:rsidDel="00000000" w:rsidR="00000000" w:rsidRPr="00000000">
        <w:rPr>
          <w:b w:val="1"/>
          <w:rtl w:val="0"/>
        </w:rPr>
        <w:t xml:space="preserve">Step 1:</w:t>
      </w:r>
      <w:r w:rsidDel="00000000" w:rsidR="00000000" w:rsidRPr="00000000">
        <w:rPr>
          <w:rtl w:val="0"/>
        </w:rPr>
        <w:t xml:space="preserve"> Look at the practice budget below to identify the deflator for each year (row 4). In this example, 2020 has been chosen as the base year – the year in which you assume that a nominal amount is equal to the real amount. The deflator for the base year is always 1. For all the other years, you use a deflator to determine the value of an amount once inflation has been taken into account. You should clearly state your base year and ensure that it is used consistently throughout your calculations.</w:t>
      </w:r>
    </w:p>
    <w:p w:rsidR="00000000" w:rsidDel="00000000" w:rsidP="00000000" w:rsidRDefault="00000000" w:rsidRPr="00000000" w14:paraId="0000000C">
      <w:pPr>
        <w:spacing w:after="112" w:line="256" w:lineRule="auto"/>
        <w:ind w:left="0" w:firstLine="0"/>
        <w:rPr/>
      </w:pPr>
      <w:r w:rsidDel="00000000" w:rsidR="00000000" w:rsidRPr="00000000">
        <w:rPr>
          <w:b w:val="1"/>
          <w:rtl w:val="0"/>
        </w:rPr>
        <w:t xml:space="preserve">Step 2:</w:t>
      </w:r>
      <w:r w:rsidDel="00000000" w:rsidR="00000000" w:rsidRPr="00000000">
        <w:rPr>
          <w:rtl w:val="0"/>
        </w:rPr>
        <w:t xml:space="preserve"> Looking at the practice budget, use the deflator (row 4) to calculate the real education expenditure (row 2) and real total expenditure (row 6) to complete the table below. To determine the real values, use the following formula:</w:t>
      </w:r>
    </w:p>
    <w:p w:rsidR="00000000" w:rsidDel="00000000" w:rsidP="00000000" w:rsidRDefault="00000000" w:rsidRPr="00000000" w14:paraId="0000000D">
      <w:pPr>
        <w:tabs>
          <w:tab w:val="center" w:leader="none" w:pos="948"/>
          <w:tab w:val="center" w:leader="none" w:pos="2296"/>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Nominal value</w:t>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Real value = -----------------------------------</w:t>
      </w:r>
    </w:p>
    <w:p w:rsidR="00000000" w:rsidDel="00000000" w:rsidP="00000000" w:rsidRDefault="00000000" w:rsidRPr="00000000" w14:paraId="0000000F">
      <w:pPr>
        <w:tabs>
          <w:tab w:val="center" w:leader="none" w:pos="0"/>
          <w:tab w:val="center" w:leader="none" w:pos="2296"/>
        </w:tabs>
        <w:spacing w:after="115" w:line="259" w:lineRule="auto"/>
        <w:ind w:left="0" w:firstLine="0"/>
        <w:rPr/>
      </w:pPr>
      <w:r w:rsidDel="00000000" w:rsidR="00000000" w:rsidRPr="00000000">
        <w:rPr>
          <w:rtl w:val="0"/>
        </w:rPr>
        <w:t xml:space="preserve">                                       Deflator</w:t>
      </w:r>
    </w:p>
    <w:p w:rsidR="00000000" w:rsidDel="00000000" w:rsidP="00000000" w:rsidRDefault="00000000" w:rsidRPr="00000000" w14:paraId="00000010">
      <w:pPr>
        <w:spacing w:after="113" w:line="256" w:lineRule="auto"/>
        <w:ind w:left="0" w:right="6" w:firstLine="0"/>
        <w:rPr/>
      </w:pPr>
      <w:r w:rsidDel="00000000" w:rsidR="00000000" w:rsidRPr="00000000">
        <w:rPr>
          <w:b w:val="1"/>
          <w:rtl w:val="0"/>
        </w:rPr>
        <w:t xml:space="preserve">Step 3: </w:t>
      </w:r>
      <w:r w:rsidDel="00000000" w:rsidR="00000000" w:rsidRPr="00000000">
        <w:rPr>
          <w:rtl w:val="0"/>
        </w:rPr>
        <w:t xml:space="preserve">Calculate the Real Growth Rate. Once you have the Real Total Education Expenditure you can calculate the Real Growth Rate (row 3), which enables you to see the percentage change in spending on education from one year to another. Use the following formula to determine whether spending is increasing or decreasing:</w:t>
      </w:r>
    </w:p>
    <w:p w:rsidR="00000000" w:rsidDel="00000000" w:rsidP="00000000" w:rsidRDefault="00000000" w:rsidRPr="00000000" w14:paraId="00000011">
      <w:pPr>
        <w:spacing w:after="0" w:line="259" w:lineRule="auto"/>
        <w:ind w:left="1432" w:firstLine="0"/>
        <w:rPr/>
      </w:pPr>
      <w:r w:rsidDel="00000000" w:rsidR="00000000" w:rsidRPr="00000000">
        <w:rPr>
          <w:rtl w:val="0"/>
        </w:rPr>
      </w:r>
    </w:p>
    <w:p w:rsidR="00000000" w:rsidDel="00000000" w:rsidP="00000000" w:rsidRDefault="00000000" w:rsidRPr="00000000" w14:paraId="00000012">
      <w:pPr>
        <w:spacing w:after="0" w:line="259" w:lineRule="auto"/>
        <w:ind w:left="1432" w:firstLine="0"/>
        <w:rPr/>
      </w:pPr>
      <w:r w:rsidDel="00000000" w:rsidR="00000000" w:rsidRPr="00000000">
        <w:rPr>
          <w:rtl w:val="0"/>
        </w:rPr>
      </w:r>
    </w:p>
    <w:p w:rsidR="00000000" w:rsidDel="00000000" w:rsidP="00000000" w:rsidRDefault="00000000" w:rsidRPr="00000000" w14:paraId="00000013">
      <w:pPr>
        <w:spacing w:after="0" w:line="259" w:lineRule="auto"/>
        <w:ind w:left="1432" w:firstLine="0"/>
        <w:rPr/>
      </w:pPr>
      <w:r w:rsidDel="00000000" w:rsidR="00000000" w:rsidRPr="00000000">
        <w:rPr>
          <w:rtl w:val="0"/>
        </w:rPr>
      </w:r>
    </w:p>
    <w:p w:rsidR="00000000" w:rsidDel="00000000" w:rsidP="00000000" w:rsidRDefault="00000000" w:rsidRPr="00000000" w14:paraId="00000014">
      <w:pPr>
        <w:spacing w:after="0" w:line="259" w:lineRule="auto"/>
        <w:ind w:left="1432" w:firstLine="0"/>
        <w:rPr/>
      </w:pPr>
      <w:r w:rsidDel="00000000" w:rsidR="00000000" w:rsidRPr="00000000">
        <w:rPr>
          <w:rtl w:val="0"/>
        </w:rPr>
        <w:t xml:space="preserve"> (Real Education Expenditure year 2 – Real Education Expenditure year 1)  </w:t>
      </w:r>
    </w:p>
    <w:p w:rsidR="00000000" w:rsidDel="00000000" w:rsidP="00000000" w:rsidRDefault="00000000" w:rsidRPr="00000000" w14:paraId="00000015">
      <w:pPr>
        <w:tabs>
          <w:tab w:val="center" w:leader="none" w:pos="716"/>
          <w:tab w:val="center" w:leader="none" w:pos="4580"/>
        </w:tabs>
        <w:spacing w:after="0"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Real growth rate =         -----------------------------------------------------------------------------------</w:t>
        <w:tab/>
        <w:t xml:space="preserve">   x 100</w:t>
      </w:r>
    </w:p>
    <w:p w:rsidR="00000000" w:rsidDel="00000000" w:rsidP="00000000" w:rsidRDefault="00000000" w:rsidRPr="00000000" w14:paraId="00000016">
      <w:pPr>
        <w:tabs>
          <w:tab w:val="center" w:leader="none" w:pos="0"/>
          <w:tab w:val="center" w:leader="none" w:pos="4337"/>
        </w:tabs>
        <w:spacing w:after="115" w:line="259" w:lineRule="auto"/>
        <w:ind w:left="0" w:firstLine="0"/>
        <w:rPr/>
      </w:pPr>
      <w:r w:rsidDel="00000000" w:rsidR="00000000" w:rsidRPr="00000000">
        <w:rPr>
          <w:rFonts w:ascii="Calibri" w:cs="Calibri" w:eastAsia="Calibri" w:hAnsi="Calibri"/>
          <w:rtl w:val="0"/>
        </w:rPr>
        <w:tab/>
      </w:r>
      <w:r w:rsidDel="00000000" w:rsidR="00000000" w:rsidRPr="00000000">
        <w:rPr>
          <w:rtl w:val="0"/>
        </w:rPr>
        <w:t xml:space="preserve"> </w:t>
        <w:tab/>
        <w:t xml:space="preserve">Real Education Expenditure in year 1</w:t>
      </w:r>
    </w:p>
    <w:p w:rsidR="00000000" w:rsidDel="00000000" w:rsidP="00000000" w:rsidRDefault="00000000" w:rsidRPr="00000000" w14:paraId="00000017">
      <w:pPr>
        <w:spacing w:after="110" w:line="259" w:lineRule="auto"/>
        <w:ind w:left="0" w:firstLine="0"/>
        <w:rPr>
          <w:i w:val="1"/>
        </w:rPr>
      </w:pPr>
      <w:r w:rsidDel="00000000" w:rsidR="00000000" w:rsidRPr="00000000">
        <w:rPr>
          <w:i w:val="1"/>
          <w:rtl w:val="0"/>
        </w:rPr>
        <w:t xml:space="preserve">Question: Is spending increasing or decreasing in real terms?</w:t>
      </w:r>
    </w:p>
    <w:p w:rsidR="00000000" w:rsidDel="00000000" w:rsidP="00000000" w:rsidRDefault="00000000" w:rsidRPr="00000000" w14:paraId="00000018">
      <w:pPr>
        <w:spacing w:after="111" w:line="259" w:lineRule="auto"/>
        <w:ind w:left="0" w:firstLine="0"/>
        <w:rPr>
          <w:b w:val="1"/>
        </w:rPr>
      </w:pPr>
      <w:r w:rsidDel="00000000" w:rsidR="00000000" w:rsidRPr="00000000">
        <w:rPr>
          <w:rtl w:val="0"/>
        </w:rPr>
      </w:r>
    </w:p>
    <w:p w:rsidR="00000000" w:rsidDel="00000000" w:rsidP="00000000" w:rsidRDefault="00000000" w:rsidRPr="00000000" w14:paraId="00000019">
      <w:pPr>
        <w:spacing w:after="111" w:line="259" w:lineRule="auto"/>
        <w:ind w:left="0" w:firstLine="0"/>
        <w:rPr/>
      </w:pPr>
      <w:r w:rsidDel="00000000" w:rsidR="00000000" w:rsidRPr="00000000">
        <w:rPr>
          <w:b w:val="1"/>
          <w:rtl w:val="0"/>
        </w:rPr>
        <w:t xml:space="preserve">Step 4: </w:t>
      </w:r>
      <w:r w:rsidDel="00000000" w:rsidR="00000000" w:rsidRPr="00000000">
        <w:rPr>
          <w:rtl w:val="0"/>
        </w:rPr>
        <w:t xml:space="preserve">Now do the same calculations for your own national budget.</w:t>
      </w:r>
    </w:p>
    <w:p w:rsidR="00000000" w:rsidDel="00000000" w:rsidP="00000000" w:rsidRDefault="00000000" w:rsidRPr="00000000" w14:paraId="0000001A">
      <w:pPr>
        <w:spacing w:after="113" w:line="255" w:lineRule="auto"/>
        <w:ind w:left="0" w:firstLine="0"/>
        <w:rPr/>
      </w:pPr>
      <w:r w:rsidDel="00000000" w:rsidR="00000000" w:rsidRPr="00000000">
        <w:rPr>
          <w:rtl w:val="0"/>
        </w:rPr>
        <w:t xml:space="preserve">This is likely to be a much more complicated exercise, as you will have to use budget documents for different years and find a comparable total for education – which can be hard as budget documents are large and often unwieldy. But the basic steps you will need to follow are: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your budget documents for a period of 3-5 years.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the total figure for the education budget (either the total allocated to the Ministry of Education or the functional budget allocation – i.e. the allocation to ‘education’).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Find a deflator to use from the Ministry of Finance, the budget documents, or Statistics Office.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 out the calculation using the formula above.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75" w:before="0" w:line="255"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Remember that you can use this approach for all sub-sectors or specific programmes of education, such as, for instance, primary education.</w:t>
      </w:r>
    </w:p>
    <w:p w:rsidR="00000000" w:rsidDel="00000000" w:rsidP="00000000" w:rsidRDefault="00000000" w:rsidRPr="00000000" w14:paraId="00000020">
      <w:pPr>
        <w:pStyle w:val="Heading1"/>
        <w:rPr>
          <w:b w:val="1"/>
          <w:color w:val="ffc000"/>
        </w:rPr>
      </w:pPr>
      <w:r w:rsidDel="00000000" w:rsidR="00000000" w:rsidRPr="00000000">
        <w:rPr>
          <w:b w:val="1"/>
          <w:color w:val="ffc000"/>
          <w:rtl w:val="0"/>
        </w:rPr>
        <w:t xml:space="preserve">PRACTICE BUDGET</w:t>
      </w:r>
    </w:p>
    <w:p w:rsidR="00000000" w:rsidDel="00000000" w:rsidP="00000000" w:rsidRDefault="00000000" w:rsidRPr="00000000" w14:paraId="00000021">
      <w:pPr>
        <w:rPr/>
      </w:pPr>
      <w:r w:rsidDel="00000000" w:rsidR="00000000" w:rsidRPr="00000000">
        <w:rPr>
          <w:rtl w:val="0"/>
        </w:rPr>
      </w:r>
    </w:p>
    <w:tbl>
      <w:tblPr>
        <w:tblStyle w:val="Table1"/>
        <w:tblW w:w="9026.0" w:type="dxa"/>
        <w:jc w:val="left"/>
        <w:tblBorders>
          <w:top w:color="ffc000" w:space="0" w:sz="4" w:val="single"/>
          <w:left w:color="ffc000" w:space="0" w:sz="4" w:val="single"/>
          <w:bottom w:color="ffc000" w:space="0" w:sz="4" w:val="single"/>
          <w:right w:color="ffc000" w:space="0" w:sz="4" w:val="single"/>
          <w:insideH w:color="ffc000" w:space="0" w:sz="4" w:val="single"/>
          <w:insideV w:color="ffc000" w:space="0" w:sz="4" w:val="single"/>
        </w:tblBorders>
        <w:tblLayout w:type="fixed"/>
        <w:tblLook w:val="0400"/>
      </w:tblPr>
      <w:tblGrid>
        <w:gridCol w:w="283"/>
        <w:gridCol w:w="1699"/>
        <w:gridCol w:w="1286"/>
        <w:gridCol w:w="1417"/>
        <w:gridCol w:w="1841"/>
        <w:gridCol w:w="2500"/>
        <w:tblGridChange w:id="0">
          <w:tblGrid>
            <w:gridCol w:w="283"/>
            <w:gridCol w:w="1699"/>
            <w:gridCol w:w="1286"/>
            <w:gridCol w:w="1417"/>
            <w:gridCol w:w="1841"/>
            <w:gridCol w:w="2500"/>
          </w:tblGrid>
        </w:tblGridChange>
      </w:tblGrid>
      <w:tr>
        <w:trPr>
          <w:cantSplit w:val="0"/>
          <w:trHeight w:val="432" w:hRule="atLeast"/>
          <w:tblHeader w:val="0"/>
        </w:trPr>
        <w:tc>
          <w:tcPr>
            <w:shd w:fill="7c7b7b" w:val="clear"/>
          </w:tcPr>
          <w:p w:rsidR="00000000" w:rsidDel="00000000" w:rsidP="00000000" w:rsidRDefault="00000000" w:rsidRPr="00000000" w14:paraId="00000022">
            <w:pPr>
              <w:jc w:val="left"/>
              <w:rPr>
                <w:color w:val="f2f2f2"/>
              </w:rPr>
            </w:pPr>
            <w:r w:rsidDel="00000000" w:rsidR="00000000" w:rsidRPr="00000000">
              <w:rPr>
                <w:rtl w:val="0"/>
              </w:rPr>
            </w:r>
          </w:p>
        </w:tc>
        <w:tc>
          <w:tcPr>
            <w:shd w:fill="7c7b7b" w:val="clear"/>
          </w:tcPr>
          <w:p w:rsidR="00000000" w:rsidDel="00000000" w:rsidP="00000000" w:rsidRDefault="00000000" w:rsidRPr="00000000" w14:paraId="00000023">
            <w:pPr>
              <w:jc w:val="center"/>
              <w:rPr>
                <w:color w:val="f2f2f2"/>
              </w:rPr>
            </w:pPr>
            <w:r w:rsidDel="00000000" w:rsidR="00000000" w:rsidRPr="00000000">
              <w:rPr>
                <w:rtl w:val="0"/>
              </w:rPr>
            </w:r>
          </w:p>
        </w:tc>
        <w:tc>
          <w:tcPr>
            <w:shd w:fill="7c7b7b" w:val="clear"/>
          </w:tcPr>
          <w:p w:rsidR="00000000" w:rsidDel="00000000" w:rsidP="00000000" w:rsidRDefault="00000000" w:rsidRPr="00000000" w14:paraId="00000024">
            <w:pPr>
              <w:jc w:val="center"/>
              <w:rPr>
                <w:color w:val="f2f2f2"/>
              </w:rPr>
            </w:pPr>
            <w:r w:rsidDel="00000000" w:rsidR="00000000" w:rsidRPr="00000000">
              <w:rPr>
                <w:b w:val="1"/>
                <w:color w:val="f2f2f2"/>
                <w:rtl w:val="0"/>
              </w:rPr>
              <w:t xml:space="preserve">2019</w:t>
            </w:r>
            <w:r w:rsidDel="00000000" w:rsidR="00000000" w:rsidRPr="00000000">
              <w:rPr>
                <w:rtl w:val="0"/>
              </w:rPr>
            </w:r>
          </w:p>
        </w:tc>
        <w:tc>
          <w:tcPr>
            <w:shd w:fill="7c7b7b" w:val="clear"/>
          </w:tcPr>
          <w:p w:rsidR="00000000" w:rsidDel="00000000" w:rsidP="00000000" w:rsidRDefault="00000000" w:rsidRPr="00000000" w14:paraId="00000025">
            <w:pPr>
              <w:jc w:val="center"/>
              <w:rPr>
                <w:color w:val="f2f2f2"/>
                <w:u w:val="single"/>
              </w:rPr>
            </w:pPr>
            <w:r w:rsidDel="00000000" w:rsidR="00000000" w:rsidRPr="00000000">
              <w:rPr>
                <w:b w:val="1"/>
                <w:color w:val="f2f2f2"/>
                <w:u w:val="single"/>
                <w:rtl w:val="0"/>
              </w:rPr>
              <w:t xml:space="preserve">2020</w:t>
            </w:r>
            <w:r w:rsidDel="00000000" w:rsidR="00000000" w:rsidRPr="00000000">
              <w:rPr>
                <w:rtl w:val="0"/>
              </w:rPr>
            </w:r>
          </w:p>
        </w:tc>
        <w:tc>
          <w:tcPr>
            <w:shd w:fill="7c7b7b" w:val="clear"/>
          </w:tcPr>
          <w:p w:rsidR="00000000" w:rsidDel="00000000" w:rsidP="00000000" w:rsidRDefault="00000000" w:rsidRPr="00000000" w14:paraId="00000026">
            <w:pPr>
              <w:jc w:val="center"/>
              <w:rPr>
                <w:color w:val="f2f2f2"/>
              </w:rPr>
            </w:pPr>
            <w:r w:rsidDel="00000000" w:rsidR="00000000" w:rsidRPr="00000000">
              <w:rPr>
                <w:b w:val="1"/>
                <w:color w:val="f2f2f2"/>
                <w:rtl w:val="0"/>
              </w:rPr>
              <w:t xml:space="preserve">2021</w:t>
            </w:r>
            <w:r w:rsidDel="00000000" w:rsidR="00000000" w:rsidRPr="00000000">
              <w:rPr>
                <w:rtl w:val="0"/>
              </w:rPr>
            </w:r>
          </w:p>
        </w:tc>
        <w:tc>
          <w:tcPr>
            <w:shd w:fill="7c7b7b" w:val="clear"/>
          </w:tcPr>
          <w:p w:rsidR="00000000" w:rsidDel="00000000" w:rsidP="00000000" w:rsidRDefault="00000000" w:rsidRPr="00000000" w14:paraId="00000027">
            <w:pPr>
              <w:jc w:val="center"/>
              <w:rPr>
                <w:color w:val="f2f2f2"/>
              </w:rPr>
            </w:pPr>
            <w:r w:rsidDel="00000000" w:rsidR="00000000" w:rsidRPr="00000000">
              <w:rPr>
                <w:b w:val="1"/>
                <w:color w:val="f2f2f2"/>
                <w:rtl w:val="0"/>
              </w:rPr>
              <w:t xml:space="preserve">2022</w:t>
            </w:r>
            <w:r w:rsidDel="00000000" w:rsidR="00000000" w:rsidRPr="00000000">
              <w:rPr>
                <w:rtl w:val="0"/>
              </w:rPr>
            </w:r>
          </w:p>
        </w:tc>
      </w:tr>
      <w:tr>
        <w:trPr>
          <w:cantSplit w:val="0"/>
          <w:trHeight w:val="594" w:hRule="atLeast"/>
          <w:tblHeader w:val="0"/>
        </w:trPr>
        <w:tc>
          <w:tcPr>
            <w:shd w:fill="f2f2f2" w:val="clear"/>
          </w:tcPr>
          <w:p w:rsidR="00000000" w:rsidDel="00000000" w:rsidP="00000000" w:rsidRDefault="00000000" w:rsidRPr="00000000" w14:paraId="00000028">
            <w:pPr>
              <w:shd w:fill="f2f2f2" w:val="clear"/>
              <w:jc w:val="center"/>
              <w:rPr/>
            </w:pPr>
            <w:r w:rsidDel="00000000" w:rsidR="00000000" w:rsidRPr="00000000">
              <w:rPr>
                <w:rtl w:val="0"/>
              </w:rPr>
              <w:t xml:space="preserve">1</w:t>
            </w:r>
          </w:p>
        </w:tc>
        <w:tc>
          <w:tcPr>
            <w:shd w:fill="f2f2f2" w:val="clear"/>
          </w:tcPr>
          <w:p w:rsidR="00000000" w:rsidDel="00000000" w:rsidP="00000000" w:rsidRDefault="00000000" w:rsidRPr="00000000" w14:paraId="00000029">
            <w:pPr>
              <w:shd w:fill="f2f2f2" w:val="clear"/>
              <w:jc w:val="center"/>
              <w:rPr>
                <w:sz w:val="20"/>
                <w:szCs w:val="20"/>
              </w:rPr>
            </w:pPr>
            <w:r w:rsidDel="00000000" w:rsidR="00000000" w:rsidRPr="00000000">
              <w:rPr>
                <w:sz w:val="20"/>
                <w:szCs w:val="20"/>
                <w:rtl w:val="0"/>
              </w:rPr>
              <w:t xml:space="preserve">Total education expenditure (nominal)</w:t>
            </w:r>
          </w:p>
        </w:tc>
        <w:tc>
          <w:tcPr>
            <w:shd w:fill="f2f2f2" w:val="clear"/>
            <w:vAlign w:val="bottom"/>
          </w:tcPr>
          <w:p w:rsidR="00000000" w:rsidDel="00000000" w:rsidP="00000000" w:rsidRDefault="00000000" w:rsidRPr="00000000" w14:paraId="0000002A">
            <w:pPr>
              <w:shd w:fill="f2f2f2" w:val="clear"/>
              <w:jc w:val="center"/>
              <w:rPr>
                <w:sz w:val="20"/>
                <w:szCs w:val="20"/>
              </w:rPr>
            </w:pPr>
            <w:r w:rsidDel="00000000" w:rsidR="00000000" w:rsidRPr="00000000">
              <w:rPr>
                <w:sz w:val="20"/>
                <w:szCs w:val="20"/>
                <w:rtl w:val="0"/>
              </w:rPr>
              <w:t xml:space="preserve">55,881,000</w:t>
            </w:r>
          </w:p>
        </w:tc>
        <w:tc>
          <w:tcPr>
            <w:shd w:fill="f2f2f2" w:val="clear"/>
            <w:vAlign w:val="bottom"/>
          </w:tcPr>
          <w:p w:rsidR="00000000" w:rsidDel="00000000" w:rsidP="00000000" w:rsidRDefault="00000000" w:rsidRPr="00000000" w14:paraId="0000002B">
            <w:pPr>
              <w:shd w:fill="f2f2f2" w:val="clear"/>
              <w:jc w:val="center"/>
              <w:rPr>
                <w:sz w:val="20"/>
                <w:szCs w:val="20"/>
              </w:rPr>
            </w:pPr>
            <w:r w:rsidDel="00000000" w:rsidR="00000000" w:rsidRPr="00000000">
              <w:rPr>
                <w:sz w:val="20"/>
                <w:szCs w:val="20"/>
                <w:rtl w:val="0"/>
              </w:rPr>
              <w:t xml:space="preserve">75,386,861</w:t>
            </w:r>
          </w:p>
        </w:tc>
        <w:tc>
          <w:tcPr>
            <w:shd w:fill="f2f2f2" w:val="clear"/>
            <w:vAlign w:val="bottom"/>
          </w:tcPr>
          <w:p w:rsidR="00000000" w:rsidDel="00000000" w:rsidP="00000000" w:rsidRDefault="00000000" w:rsidRPr="00000000" w14:paraId="0000002C">
            <w:pPr>
              <w:shd w:fill="f2f2f2" w:val="clear"/>
              <w:jc w:val="center"/>
              <w:rPr>
                <w:sz w:val="20"/>
                <w:szCs w:val="20"/>
              </w:rPr>
            </w:pPr>
            <w:r w:rsidDel="00000000" w:rsidR="00000000" w:rsidRPr="00000000">
              <w:rPr>
                <w:sz w:val="20"/>
                <w:szCs w:val="20"/>
                <w:rtl w:val="0"/>
              </w:rPr>
              <w:t xml:space="preserve">106,846,765</w:t>
            </w:r>
          </w:p>
        </w:tc>
        <w:tc>
          <w:tcPr>
            <w:shd w:fill="f2f2f2" w:val="clear"/>
            <w:vAlign w:val="bottom"/>
          </w:tcPr>
          <w:p w:rsidR="00000000" w:rsidDel="00000000" w:rsidP="00000000" w:rsidRDefault="00000000" w:rsidRPr="00000000" w14:paraId="0000002D">
            <w:pPr>
              <w:shd w:fill="f2f2f2" w:val="clear"/>
              <w:jc w:val="center"/>
              <w:rPr>
                <w:sz w:val="20"/>
                <w:szCs w:val="20"/>
              </w:rPr>
            </w:pPr>
            <w:r w:rsidDel="00000000" w:rsidR="00000000" w:rsidRPr="00000000">
              <w:rPr>
                <w:sz w:val="20"/>
                <w:szCs w:val="20"/>
                <w:rtl w:val="0"/>
              </w:rPr>
              <w:t xml:space="preserve">149,161,000</w:t>
            </w:r>
          </w:p>
        </w:tc>
      </w:tr>
      <w:tr>
        <w:trPr>
          <w:cantSplit w:val="0"/>
          <w:trHeight w:val="379" w:hRule="atLeast"/>
          <w:tblHeader w:val="0"/>
        </w:trPr>
        <w:tc>
          <w:tcPr>
            <w:shd w:fill="f2f2f2" w:val="clear"/>
          </w:tcPr>
          <w:p w:rsidR="00000000" w:rsidDel="00000000" w:rsidP="00000000" w:rsidRDefault="00000000" w:rsidRPr="00000000" w14:paraId="0000002E">
            <w:pPr>
              <w:shd w:fill="f2f2f2" w:val="clear"/>
              <w:jc w:val="center"/>
              <w:rPr/>
            </w:pPr>
            <w:r w:rsidDel="00000000" w:rsidR="00000000" w:rsidRPr="00000000">
              <w:rPr>
                <w:rtl w:val="0"/>
              </w:rPr>
              <w:t xml:space="preserve">2</w:t>
            </w:r>
          </w:p>
        </w:tc>
        <w:tc>
          <w:tcPr>
            <w:shd w:fill="f2f2f2" w:val="clear"/>
          </w:tcPr>
          <w:p w:rsidR="00000000" w:rsidDel="00000000" w:rsidP="00000000" w:rsidRDefault="00000000" w:rsidRPr="00000000" w14:paraId="0000002F">
            <w:pPr>
              <w:shd w:fill="f2f2f2" w:val="clear"/>
              <w:jc w:val="center"/>
              <w:rPr>
                <w:sz w:val="20"/>
                <w:szCs w:val="20"/>
              </w:rPr>
            </w:pPr>
            <w:r w:rsidDel="00000000" w:rsidR="00000000" w:rsidRPr="00000000">
              <w:rPr>
                <w:sz w:val="20"/>
                <w:szCs w:val="20"/>
                <w:rtl w:val="0"/>
              </w:rPr>
              <w:t xml:space="preserve">Total education expenditure (real)</w:t>
            </w:r>
          </w:p>
        </w:tc>
        <w:tc>
          <w:tcPr>
            <w:shd w:fill="f2f2f2" w:val="clear"/>
          </w:tcPr>
          <w:p w:rsidR="00000000" w:rsidDel="00000000" w:rsidP="00000000" w:rsidRDefault="00000000" w:rsidRPr="00000000" w14:paraId="00000030">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31">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32">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33">
            <w:pPr>
              <w:shd w:fill="f2f2f2" w:val="clear"/>
              <w:jc w:val="center"/>
              <w:rPr>
                <w:sz w:val="20"/>
                <w:szCs w:val="20"/>
              </w:rPr>
            </w:pPr>
            <w:r w:rsidDel="00000000" w:rsidR="00000000" w:rsidRPr="00000000">
              <w:rPr>
                <w:rtl w:val="0"/>
              </w:rPr>
            </w:r>
          </w:p>
        </w:tc>
      </w:tr>
      <w:tr>
        <w:trPr>
          <w:cantSplit w:val="0"/>
          <w:trHeight w:val="351" w:hRule="atLeast"/>
          <w:tblHeader w:val="0"/>
        </w:trPr>
        <w:tc>
          <w:tcPr>
            <w:shd w:fill="f2f2f2" w:val="clear"/>
          </w:tcPr>
          <w:p w:rsidR="00000000" w:rsidDel="00000000" w:rsidP="00000000" w:rsidRDefault="00000000" w:rsidRPr="00000000" w14:paraId="00000034">
            <w:pPr>
              <w:shd w:fill="f2f2f2" w:val="clear"/>
              <w:jc w:val="center"/>
              <w:rPr/>
            </w:pPr>
            <w:r w:rsidDel="00000000" w:rsidR="00000000" w:rsidRPr="00000000">
              <w:rPr>
                <w:rtl w:val="0"/>
              </w:rPr>
              <w:t xml:space="preserve">3</w:t>
            </w:r>
          </w:p>
        </w:tc>
        <w:tc>
          <w:tcPr>
            <w:shd w:fill="f2f2f2" w:val="clear"/>
          </w:tcPr>
          <w:p w:rsidR="00000000" w:rsidDel="00000000" w:rsidP="00000000" w:rsidRDefault="00000000" w:rsidRPr="00000000" w14:paraId="00000035">
            <w:pPr>
              <w:shd w:fill="f2f2f2" w:val="clear"/>
              <w:jc w:val="center"/>
              <w:rPr>
                <w:sz w:val="20"/>
                <w:szCs w:val="20"/>
              </w:rPr>
            </w:pPr>
            <w:r w:rsidDel="00000000" w:rsidR="00000000" w:rsidRPr="00000000">
              <w:rPr>
                <w:sz w:val="20"/>
                <w:szCs w:val="20"/>
                <w:rtl w:val="0"/>
              </w:rPr>
              <w:t xml:space="preserve">Growth Rate (real)</w:t>
            </w:r>
          </w:p>
        </w:tc>
        <w:tc>
          <w:tcPr>
            <w:shd w:fill="f2f2f2" w:val="clear"/>
          </w:tcPr>
          <w:p w:rsidR="00000000" w:rsidDel="00000000" w:rsidP="00000000" w:rsidRDefault="00000000" w:rsidRPr="00000000" w14:paraId="00000036">
            <w:pPr>
              <w:shd w:fill="f2f2f2" w:val="clear"/>
              <w:jc w:val="center"/>
              <w:rPr>
                <w:sz w:val="20"/>
                <w:szCs w:val="20"/>
              </w:rPr>
            </w:pPr>
            <w:r w:rsidDel="00000000" w:rsidR="00000000" w:rsidRPr="00000000">
              <w:rPr>
                <w:sz w:val="20"/>
                <w:szCs w:val="20"/>
                <w:rtl w:val="0"/>
              </w:rPr>
              <w:t xml:space="preserve">%</w:t>
            </w:r>
          </w:p>
        </w:tc>
        <w:tc>
          <w:tcPr>
            <w:shd w:fill="f2f2f2" w:val="clear"/>
          </w:tcPr>
          <w:p w:rsidR="00000000" w:rsidDel="00000000" w:rsidP="00000000" w:rsidRDefault="00000000" w:rsidRPr="00000000" w14:paraId="00000037">
            <w:pPr>
              <w:shd w:fill="f2f2f2" w:val="clear"/>
              <w:jc w:val="center"/>
              <w:rPr>
                <w:sz w:val="20"/>
                <w:szCs w:val="20"/>
              </w:rPr>
            </w:pPr>
            <w:r w:rsidDel="00000000" w:rsidR="00000000" w:rsidRPr="00000000">
              <w:rPr>
                <w:sz w:val="20"/>
                <w:szCs w:val="20"/>
                <w:rtl w:val="0"/>
              </w:rPr>
              <w:t xml:space="preserve">%</w:t>
            </w:r>
          </w:p>
        </w:tc>
        <w:tc>
          <w:tcPr>
            <w:shd w:fill="f2f2f2" w:val="clear"/>
          </w:tcPr>
          <w:p w:rsidR="00000000" w:rsidDel="00000000" w:rsidP="00000000" w:rsidRDefault="00000000" w:rsidRPr="00000000" w14:paraId="00000038">
            <w:pPr>
              <w:shd w:fill="f2f2f2" w:val="clear"/>
              <w:jc w:val="center"/>
              <w:rPr>
                <w:sz w:val="20"/>
                <w:szCs w:val="20"/>
              </w:rPr>
            </w:pPr>
            <w:r w:rsidDel="00000000" w:rsidR="00000000" w:rsidRPr="00000000">
              <w:rPr>
                <w:sz w:val="20"/>
                <w:szCs w:val="20"/>
                <w:rtl w:val="0"/>
              </w:rPr>
              <w:t xml:space="preserve">%</w:t>
            </w:r>
          </w:p>
        </w:tc>
        <w:tc>
          <w:tcPr>
            <w:shd w:fill="f2f2f2" w:val="clear"/>
          </w:tcPr>
          <w:p w:rsidR="00000000" w:rsidDel="00000000" w:rsidP="00000000" w:rsidRDefault="00000000" w:rsidRPr="00000000" w14:paraId="00000039">
            <w:pPr>
              <w:shd w:fill="f2f2f2" w:val="clear"/>
              <w:jc w:val="center"/>
              <w:rPr>
                <w:sz w:val="20"/>
                <w:szCs w:val="20"/>
              </w:rPr>
            </w:pPr>
            <w:r w:rsidDel="00000000" w:rsidR="00000000" w:rsidRPr="00000000">
              <w:rPr>
                <w:sz w:val="20"/>
                <w:szCs w:val="20"/>
                <w:rtl w:val="0"/>
              </w:rPr>
              <w:t xml:space="preserve">%</w:t>
            </w:r>
          </w:p>
        </w:tc>
      </w:tr>
      <w:tr>
        <w:trPr>
          <w:cantSplit w:val="0"/>
          <w:trHeight w:val="351" w:hRule="atLeast"/>
          <w:tblHeader w:val="0"/>
        </w:trPr>
        <w:tc>
          <w:tcPr>
            <w:shd w:fill="f2f2f2" w:val="clear"/>
          </w:tcPr>
          <w:p w:rsidR="00000000" w:rsidDel="00000000" w:rsidP="00000000" w:rsidRDefault="00000000" w:rsidRPr="00000000" w14:paraId="0000003A">
            <w:pPr>
              <w:shd w:fill="f2f2f2" w:val="clear"/>
              <w:jc w:val="center"/>
              <w:rPr/>
            </w:pPr>
            <w:r w:rsidDel="00000000" w:rsidR="00000000" w:rsidRPr="00000000">
              <w:rPr>
                <w:rtl w:val="0"/>
              </w:rPr>
              <w:t xml:space="preserve">4</w:t>
            </w:r>
          </w:p>
        </w:tc>
        <w:tc>
          <w:tcPr>
            <w:shd w:fill="f2f2f2" w:val="clear"/>
          </w:tcPr>
          <w:p w:rsidR="00000000" w:rsidDel="00000000" w:rsidP="00000000" w:rsidRDefault="00000000" w:rsidRPr="00000000" w14:paraId="0000003B">
            <w:pPr>
              <w:shd w:fill="f2f2f2" w:val="clear"/>
              <w:jc w:val="center"/>
              <w:rPr>
                <w:sz w:val="20"/>
                <w:szCs w:val="20"/>
              </w:rPr>
            </w:pPr>
            <w:r w:rsidDel="00000000" w:rsidR="00000000" w:rsidRPr="00000000">
              <w:rPr>
                <w:sz w:val="20"/>
                <w:szCs w:val="20"/>
                <w:rtl w:val="0"/>
              </w:rPr>
              <w:t xml:space="preserve">Deflator</w:t>
            </w:r>
          </w:p>
        </w:tc>
        <w:tc>
          <w:tcPr>
            <w:shd w:fill="f2f2f2" w:val="clear"/>
          </w:tcPr>
          <w:p w:rsidR="00000000" w:rsidDel="00000000" w:rsidP="00000000" w:rsidRDefault="00000000" w:rsidRPr="00000000" w14:paraId="0000003C">
            <w:pPr>
              <w:shd w:fill="f2f2f2" w:val="clear"/>
              <w:jc w:val="center"/>
              <w:rPr>
                <w:sz w:val="20"/>
                <w:szCs w:val="20"/>
              </w:rPr>
            </w:pPr>
            <w:r w:rsidDel="00000000" w:rsidR="00000000" w:rsidRPr="00000000">
              <w:rPr>
                <w:sz w:val="20"/>
                <w:szCs w:val="20"/>
                <w:rtl w:val="0"/>
              </w:rPr>
              <w:t xml:space="preserve">0.943</w:t>
            </w:r>
          </w:p>
        </w:tc>
        <w:tc>
          <w:tcPr>
            <w:shd w:fill="f2f2f2" w:val="clear"/>
          </w:tcPr>
          <w:p w:rsidR="00000000" w:rsidDel="00000000" w:rsidP="00000000" w:rsidRDefault="00000000" w:rsidRPr="00000000" w14:paraId="0000003D">
            <w:pPr>
              <w:shd w:fill="f2f2f2" w:val="clear"/>
              <w:jc w:val="center"/>
              <w:rPr>
                <w:sz w:val="20"/>
                <w:szCs w:val="20"/>
              </w:rPr>
            </w:pPr>
            <w:r w:rsidDel="00000000" w:rsidR="00000000" w:rsidRPr="00000000">
              <w:rPr>
                <w:sz w:val="20"/>
                <w:szCs w:val="20"/>
                <w:rtl w:val="0"/>
              </w:rPr>
              <w:t xml:space="preserve">1</w:t>
            </w:r>
          </w:p>
        </w:tc>
        <w:tc>
          <w:tcPr>
            <w:shd w:fill="f2f2f2" w:val="clear"/>
          </w:tcPr>
          <w:p w:rsidR="00000000" w:rsidDel="00000000" w:rsidP="00000000" w:rsidRDefault="00000000" w:rsidRPr="00000000" w14:paraId="0000003E">
            <w:pPr>
              <w:shd w:fill="f2f2f2" w:val="clear"/>
              <w:jc w:val="center"/>
              <w:rPr>
                <w:sz w:val="20"/>
                <w:szCs w:val="20"/>
              </w:rPr>
            </w:pPr>
            <w:r w:rsidDel="00000000" w:rsidR="00000000" w:rsidRPr="00000000">
              <w:rPr>
                <w:sz w:val="20"/>
                <w:szCs w:val="20"/>
                <w:rtl w:val="0"/>
              </w:rPr>
              <w:t xml:space="preserve">1.05</w:t>
            </w:r>
          </w:p>
        </w:tc>
        <w:tc>
          <w:tcPr>
            <w:shd w:fill="f2f2f2" w:val="clear"/>
          </w:tcPr>
          <w:p w:rsidR="00000000" w:rsidDel="00000000" w:rsidP="00000000" w:rsidRDefault="00000000" w:rsidRPr="00000000" w14:paraId="0000003F">
            <w:pPr>
              <w:shd w:fill="f2f2f2" w:val="clear"/>
              <w:jc w:val="center"/>
              <w:rPr>
                <w:sz w:val="20"/>
                <w:szCs w:val="20"/>
              </w:rPr>
            </w:pPr>
            <w:r w:rsidDel="00000000" w:rsidR="00000000" w:rsidRPr="00000000">
              <w:rPr>
                <w:sz w:val="20"/>
                <w:szCs w:val="20"/>
                <w:rtl w:val="0"/>
              </w:rPr>
              <w:t xml:space="preserve">1.09515</w:t>
            </w:r>
          </w:p>
        </w:tc>
      </w:tr>
      <w:tr>
        <w:trPr>
          <w:cantSplit w:val="0"/>
          <w:trHeight w:val="351" w:hRule="atLeast"/>
          <w:tblHeader w:val="0"/>
        </w:trPr>
        <w:tc>
          <w:tcPr>
            <w:shd w:fill="f2f2f2" w:val="clear"/>
          </w:tcPr>
          <w:p w:rsidR="00000000" w:rsidDel="00000000" w:rsidP="00000000" w:rsidRDefault="00000000" w:rsidRPr="00000000" w14:paraId="00000040">
            <w:pPr>
              <w:shd w:fill="f2f2f2" w:val="clear"/>
              <w:jc w:val="center"/>
              <w:rPr/>
            </w:pPr>
            <w:r w:rsidDel="00000000" w:rsidR="00000000" w:rsidRPr="00000000">
              <w:rPr>
                <w:rtl w:val="0"/>
              </w:rPr>
              <w:t xml:space="preserve">5</w:t>
            </w:r>
          </w:p>
        </w:tc>
        <w:tc>
          <w:tcPr>
            <w:shd w:fill="f2f2f2" w:val="clear"/>
          </w:tcPr>
          <w:p w:rsidR="00000000" w:rsidDel="00000000" w:rsidP="00000000" w:rsidRDefault="00000000" w:rsidRPr="00000000" w14:paraId="00000041">
            <w:pPr>
              <w:shd w:fill="f2f2f2" w:val="clear"/>
              <w:ind w:left="0" w:firstLine="0"/>
              <w:jc w:val="center"/>
              <w:rPr>
                <w:sz w:val="20"/>
                <w:szCs w:val="20"/>
              </w:rPr>
            </w:pPr>
            <w:r w:rsidDel="00000000" w:rsidR="00000000" w:rsidRPr="00000000">
              <w:rPr>
                <w:sz w:val="20"/>
                <w:szCs w:val="20"/>
                <w:rtl w:val="0"/>
              </w:rPr>
              <w:t xml:space="preserve">Total government</w:t>
            </w:r>
          </w:p>
          <w:p w:rsidR="00000000" w:rsidDel="00000000" w:rsidP="00000000" w:rsidRDefault="00000000" w:rsidRPr="00000000" w14:paraId="00000042">
            <w:pPr>
              <w:shd w:fill="f2f2f2" w:val="clear"/>
              <w:jc w:val="center"/>
              <w:rPr>
                <w:sz w:val="20"/>
                <w:szCs w:val="20"/>
              </w:rPr>
            </w:pPr>
            <w:r w:rsidDel="00000000" w:rsidR="00000000" w:rsidRPr="00000000">
              <w:rPr>
                <w:sz w:val="20"/>
                <w:szCs w:val="20"/>
                <w:rtl w:val="0"/>
              </w:rPr>
              <w:t xml:space="preserve">expenditure (nominal)</w:t>
            </w:r>
          </w:p>
        </w:tc>
        <w:tc>
          <w:tcPr>
            <w:shd w:fill="f2f2f2" w:val="clear"/>
          </w:tcPr>
          <w:p w:rsidR="00000000" w:rsidDel="00000000" w:rsidP="00000000" w:rsidRDefault="00000000" w:rsidRPr="00000000" w14:paraId="00000043">
            <w:pPr>
              <w:shd w:fill="f2f2f2" w:val="clear"/>
              <w:jc w:val="center"/>
              <w:rPr>
                <w:sz w:val="20"/>
                <w:szCs w:val="20"/>
              </w:rPr>
            </w:pPr>
            <w:r w:rsidDel="00000000" w:rsidR="00000000" w:rsidRPr="00000000">
              <w:rPr>
                <w:sz w:val="20"/>
                <w:szCs w:val="20"/>
                <w:rtl w:val="0"/>
              </w:rPr>
              <w:t xml:space="preserve">303,724,000</w:t>
            </w:r>
          </w:p>
        </w:tc>
        <w:tc>
          <w:tcPr>
            <w:shd w:fill="f2f2f2" w:val="clear"/>
          </w:tcPr>
          <w:p w:rsidR="00000000" w:rsidDel="00000000" w:rsidP="00000000" w:rsidRDefault="00000000" w:rsidRPr="00000000" w14:paraId="00000044">
            <w:pPr>
              <w:shd w:fill="f2f2f2" w:val="clear"/>
              <w:jc w:val="center"/>
              <w:rPr>
                <w:sz w:val="20"/>
                <w:szCs w:val="20"/>
              </w:rPr>
            </w:pPr>
            <w:r w:rsidDel="00000000" w:rsidR="00000000" w:rsidRPr="00000000">
              <w:rPr>
                <w:sz w:val="20"/>
                <w:szCs w:val="20"/>
                <w:rtl w:val="0"/>
              </w:rPr>
              <w:t xml:space="preserve">408,390,000</w:t>
            </w:r>
          </w:p>
        </w:tc>
        <w:tc>
          <w:tcPr>
            <w:shd w:fill="f2f2f2" w:val="clear"/>
          </w:tcPr>
          <w:p w:rsidR="00000000" w:rsidDel="00000000" w:rsidP="00000000" w:rsidRDefault="00000000" w:rsidRPr="00000000" w14:paraId="00000045">
            <w:pPr>
              <w:shd w:fill="f2f2f2" w:val="clear"/>
              <w:jc w:val="center"/>
              <w:rPr>
                <w:sz w:val="20"/>
                <w:szCs w:val="20"/>
              </w:rPr>
            </w:pPr>
            <w:r w:rsidDel="00000000" w:rsidR="00000000" w:rsidRPr="00000000">
              <w:rPr>
                <w:sz w:val="20"/>
                <w:szCs w:val="20"/>
                <w:rtl w:val="0"/>
              </w:rPr>
              <w:t xml:space="preserve">638,151,000</w:t>
            </w:r>
          </w:p>
        </w:tc>
        <w:tc>
          <w:tcPr>
            <w:shd w:fill="f2f2f2" w:val="clear"/>
          </w:tcPr>
          <w:p w:rsidR="00000000" w:rsidDel="00000000" w:rsidP="00000000" w:rsidRDefault="00000000" w:rsidRPr="00000000" w14:paraId="00000046">
            <w:pPr>
              <w:shd w:fill="f2f2f2" w:val="clear"/>
              <w:jc w:val="center"/>
              <w:rPr>
                <w:sz w:val="20"/>
                <w:szCs w:val="20"/>
              </w:rPr>
            </w:pPr>
            <w:r w:rsidDel="00000000" w:rsidR="00000000" w:rsidRPr="00000000">
              <w:rPr>
                <w:sz w:val="20"/>
                <w:szCs w:val="20"/>
                <w:rtl w:val="0"/>
              </w:rPr>
              <w:t xml:space="preserve">748,579,000</w:t>
            </w:r>
          </w:p>
        </w:tc>
      </w:tr>
      <w:tr>
        <w:trPr>
          <w:cantSplit w:val="0"/>
          <w:trHeight w:val="351" w:hRule="atLeast"/>
          <w:tblHeader w:val="0"/>
        </w:trPr>
        <w:tc>
          <w:tcPr>
            <w:shd w:fill="f2f2f2" w:val="clear"/>
          </w:tcPr>
          <w:p w:rsidR="00000000" w:rsidDel="00000000" w:rsidP="00000000" w:rsidRDefault="00000000" w:rsidRPr="00000000" w14:paraId="00000047">
            <w:pPr>
              <w:shd w:fill="f2f2f2" w:val="clear"/>
              <w:jc w:val="center"/>
              <w:rPr/>
            </w:pPr>
            <w:r w:rsidDel="00000000" w:rsidR="00000000" w:rsidRPr="00000000">
              <w:rPr>
                <w:rtl w:val="0"/>
              </w:rPr>
              <w:t xml:space="preserve">6</w:t>
            </w:r>
          </w:p>
        </w:tc>
        <w:tc>
          <w:tcPr>
            <w:shd w:fill="f2f2f2" w:val="clear"/>
          </w:tcPr>
          <w:p w:rsidR="00000000" w:rsidDel="00000000" w:rsidP="00000000" w:rsidRDefault="00000000" w:rsidRPr="00000000" w14:paraId="00000048">
            <w:pPr>
              <w:shd w:fill="f2f2f2" w:val="clear"/>
              <w:jc w:val="center"/>
              <w:rPr>
                <w:sz w:val="20"/>
                <w:szCs w:val="20"/>
              </w:rPr>
            </w:pPr>
            <w:r w:rsidDel="00000000" w:rsidR="00000000" w:rsidRPr="00000000">
              <w:rPr>
                <w:sz w:val="20"/>
                <w:szCs w:val="20"/>
                <w:rtl w:val="0"/>
              </w:rPr>
              <w:t xml:space="preserve">Total government expenditure (real)</w:t>
            </w:r>
          </w:p>
        </w:tc>
        <w:tc>
          <w:tcPr>
            <w:shd w:fill="f2f2f2" w:val="clear"/>
          </w:tcPr>
          <w:p w:rsidR="00000000" w:rsidDel="00000000" w:rsidP="00000000" w:rsidRDefault="00000000" w:rsidRPr="00000000" w14:paraId="00000049">
            <w:pPr>
              <w:shd w:fill="f2f2f2" w:val="clear"/>
              <w:jc w:val="center"/>
              <w:rPr>
                <w:sz w:val="20"/>
                <w:szCs w:val="20"/>
                <w:shd w:fill="f4cccc" w:val="clear"/>
              </w:rPr>
            </w:pPr>
            <w:r w:rsidDel="00000000" w:rsidR="00000000" w:rsidRPr="00000000">
              <w:rPr>
                <w:rtl w:val="0"/>
              </w:rPr>
            </w:r>
          </w:p>
        </w:tc>
        <w:tc>
          <w:tcPr>
            <w:shd w:fill="f2f2f2" w:val="clear"/>
          </w:tcPr>
          <w:p w:rsidR="00000000" w:rsidDel="00000000" w:rsidP="00000000" w:rsidRDefault="00000000" w:rsidRPr="00000000" w14:paraId="0000004A">
            <w:pPr>
              <w:shd w:fill="f2f2f2" w:val="clear"/>
              <w:jc w:val="center"/>
              <w:rPr>
                <w:sz w:val="20"/>
                <w:szCs w:val="20"/>
                <w:shd w:fill="f4cccc" w:val="clear"/>
              </w:rPr>
            </w:pPr>
            <w:r w:rsidDel="00000000" w:rsidR="00000000" w:rsidRPr="00000000">
              <w:rPr>
                <w:rtl w:val="0"/>
              </w:rPr>
            </w:r>
          </w:p>
        </w:tc>
        <w:tc>
          <w:tcPr>
            <w:shd w:fill="f2f2f2" w:val="clear"/>
          </w:tcPr>
          <w:p w:rsidR="00000000" w:rsidDel="00000000" w:rsidP="00000000" w:rsidRDefault="00000000" w:rsidRPr="00000000" w14:paraId="0000004B">
            <w:pPr>
              <w:shd w:fill="f2f2f2" w:val="clear"/>
              <w:jc w:val="center"/>
              <w:rPr>
                <w:sz w:val="20"/>
                <w:szCs w:val="20"/>
                <w:shd w:fill="f4cccc" w:val="clear"/>
              </w:rPr>
            </w:pPr>
            <w:r w:rsidDel="00000000" w:rsidR="00000000" w:rsidRPr="00000000">
              <w:rPr>
                <w:rtl w:val="0"/>
              </w:rPr>
            </w:r>
          </w:p>
        </w:tc>
        <w:tc>
          <w:tcPr>
            <w:shd w:fill="f2f2f2" w:val="clear"/>
          </w:tcPr>
          <w:p w:rsidR="00000000" w:rsidDel="00000000" w:rsidP="00000000" w:rsidRDefault="00000000" w:rsidRPr="00000000" w14:paraId="0000004C">
            <w:pPr>
              <w:shd w:fill="f2f2f2" w:val="clear"/>
              <w:jc w:val="center"/>
              <w:rPr>
                <w:sz w:val="20"/>
                <w:szCs w:val="20"/>
                <w:shd w:fill="f4cccc" w:val="clear"/>
              </w:rPr>
            </w:pPr>
            <w:r w:rsidDel="00000000" w:rsidR="00000000" w:rsidRPr="00000000">
              <w:rPr>
                <w:rtl w:val="0"/>
              </w:rPr>
            </w:r>
          </w:p>
        </w:tc>
      </w:tr>
      <w:tr>
        <w:trPr>
          <w:cantSplit w:val="0"/>
          <w:trHeight w:val="351" w:hRule="atLeast"/>
          <w:tblHeader w:val="0"/>
        </w:trPr>
        <w:tc>
          <w:tcPr>
            <w:shd w:fill="f2f2f2" w:val="clear"/>
          </w:tcPr>
          <w:p w:rsidR="00000000" w:rsidDel="00000000" w:rsidP="00000000" w:rsidRDefault="00000000" w:rsidRPr="00000000" w14:paraId="0000004D">
            <w:pPr>
              <w:shd w:fill="f2f2f2" w:val="clear"/>
              <w:jc w:val="center"/>
              <w:rPr/>
            </w:pPr>
            <w:r w:rsidDel="00000000" w:rsidR="00000000" w:rsidRPr="00000000">
              <w:rPr>
                <w:rtl w:val="0"/>
              </w:rPr>
              <w:t xml:space="preserve">7</w:t>
            </w:r>
          </w:p>
        </w:tc>
        <w:tc>
          <w:tcPr>
            <w:shd w:fill="f2f2f2" w:val="clear"/>
          </w:tcPr>
          <w:p w:rsidR="00000000" w:rsidDel="00000000" w:rsidP="00000000" w:rsidRDefault="00000000" w:rsidRPr="00000000" w14:paraId="0000004E">
            <w:pPr>
              <w:shd w:fill="f2f2f2" w:val="clear"/>
              <w:jc w:val="center"/>
              <w:rPr>
                <w:sz w:val="20"/>
                <w:szCs w:val="20"/>
              </w:rPr>
            </w:pPr>
            <w:r w:rsidDel="00000000" w:rsidR="00000000" w:rsidRPr="00000000">
              <w:rPr>
                <w:sz w:val="20"/>
                <w:szCs w:val="20"/>
                <w:rtl w:val="0"/>
              </w:rPr>
              <w:t xml:space="preserve">Education spending as a percentage of total government expenditure</w:t>
            </w:r>
          </w:p>
        </w:tc>
        <w:tc>
          <w:tcPr>
            <w:shd w:fill="f2f2f2" w:val="clear"/>
          </w:tcPr>
          <w:p w:rsidR="00000000" w:rsidDel="00000000" w:rsidP="00000000" w:rsidRDefault="00000000" w:rsidRPr="00000000" w14:paraId="0000004F">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0">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1">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2">
            <w:pPr>
              <w:shd w:fill="f2f2f2" w:val="clear"/>
              <w:jc w:val="center"/>
              <w:rPr>
                <w:sz w:val="20"/>
                <w:szCs w:val="20"/>
              </w:rPr>
            </w:pPr>
            <w:r w:rsidDel="00000000" w:rsidR="00000000" w:rsidRPr="00000000">
              <w:rPr>
                <w:rtl w:val="0"/>
              </w:rPr>
            </w:r>
          </w:p>
        </w:tc>
      </w:tr>
      <w:tr>
        <w:trPr>
          <w:cantSplit w:val="0"/>
          <w:trHeight w:val="351" w:hRule="atLeast"/>
          <w:tblHeader w:val="0"/>
        </w:trPr>
        <w:tc>
          <w:tcPr>
            <w:shd w:fill="f2f2f2" w:val="clear"/>
          </w:tcPr>
          <w:p w:rsidR="00000000" w:rsidDel="00000000" w:rsidP="00000000" w:rsidRDefault="00000000" w:rsidRPr="00000000" w14:paraId="00000053">
            <w:pPr>
              <w:shd w:fill="f2f2f2" w:val="clear"/>
              <w:jc w:val="center"/>
              <w:rPr/>
            </w:pPr>
            <w:r w:rsidDel="00000000" w:rsidR="00000000" w:rsidRPr="00000000">
              <w:rPr>
                <w:rtl w:val="0"/>
              </w:rPr>
              <w:t xml:space="preserve">8</w:t>
            </w:r>
          </w:p>
        </w:tc>
        <w:tc>
          <w:tcPr>
            <w:shd w:fill="f2f2f2" w:val="clear"/>
          </w:tcPr>
          <w:p w:rsidR="00000000" w:rsidDel="00000000" w:rsidP="00000000" w:rsidRDefault="00000000" w:rsidRPr="00000000" w14:paraId="00000054">
            <w:pPr>
              <w:shd w:fill="f2f2f2" w:val="clear"/>
              <w:jc w:val="center"/>
              <w:rPr>
                <w:sz w:val="20"/>
                <w:szCs w:val="20"/>
              </w:rPr>
            </w:pPr>
            <w:r w:rsidDel="00000000" w:rsidR="00000000" w:rsidRPr="00000000">
              <w:rPr>
                <w:sz w:val="20"/>
                <w:szCs w:val="20"/>
                <w:rtl w:val="0"/>
              </w:rPr>
              <w:t xml:space="preserve">GDP (nominal)</w:t>
            </w:r>
          </w:p>
        </w:tc>
        <w:tc>
          <w:tcPr>
            <w:shd w:fill="f2f2f2" w:val="clear"/>
          </w:tcPr>
          <w:p w:rsidR="00000000" w:rsidDel="00000000" w:rsidP="00000000" w:rsidRDefault="00000000" w:rsidRPr="00000000" w14:paraId="00000055">
            <w:pPr>
              <w:shd w:fill="f2f2f2" w:val="clear"/>
              <w:jc w:val="center"/>
              <w:rPr>
                <w:sz w:val="20"/>
                <w:szCs w:val="20"/>
              </w:rPr>
            </w:pPr>
            <w:r w:rsidDel="00000000" w:rsidR="00000000" w:rsidRPr="00000000">
              <w:rPr>
                <w:sz w:val="20"/>
                <w:szCs w:val="20"/>
                <w:rtl w:val="0"/>
              </w:rPr>
              <w:t xml:space="preserve">1,422,289,200</w:t>
            </w:r>
          </w:p>
        </w:tc>
        <w:tc>
          <w:tcPr>
            <w:shd w:fill="f2f2f2" w:val="clear"/>
          </w:tcPr>
          <w:p w:rsidR="00000000" w:rsidDel="00000000" w:rsidP="00000000" w:rsidRDefault="00000000" w:rsidRPr="00000000" w14:paraId="00000056">
            <w:pPr>
              <w:shd w:fill="f2f2f2" w:val="clear"/>
              <w:jc w:val="center"/>
              <w:rPr>
                <w:sz w:val="20"/>
                <w:szCs w:val="20"/>
              </w:rPr>
            </w:pPr>
            <w:r w:rsidDel="00000000" w:rsidR="00000000" w:rsidRPr="00000000">
              <w:rPr>
                <w:sz w:val="20"/>
                <w:szCs w:val="20"/>
                <w:rtl w:val="0"/>
              </w:rPr>
              <w:t xml:space="preserve">1,501,269,100</w:t>
            </w:r>
          </w:p>
        </w:tc>
        <w:tc>
          <w:tcPr>
            <w:shd w:fill="f2f2f2" w:val="clear"/>
          </w:tcPr>
          <w:p w:rsidR="00000000" w:rsidDel="00000000" w:rsidP="00000000" w:rsidRDefault="00000000" w:rsidRPr="00000000" w14:paraId="00000057">
            <w:pPr>
              <w:shd w:fill="f2f2f2" w:val="clear"/>
              <w:jc w:val="center"/>
              <w:rPr>
                <w:sz w:val="20"/>
                <w:szCs w:val="20"/>
              </w:rPr>
            </w:pPr>
            <w:r w:rsidDel="00000000" w:rsidR="00000000" w:rsidRPr="00000000">
              <w:rPr>
                <w:sz w:val="20"/>
                <w:szCs w:val="20"/>
                <w:rtl w:val="0"/>
              </w:rPr>
              <w:t xml:space="preserve">1,840,972,700</w:t>
            </w:r>
          </w:p>
        </w:tc>
        <w:tc>
          <w:tcPr>
            <w:shd w:fill="f2f2f2" w:val="clear"/>
          </w:tcPr>
          <w:p w:rsidR="00000000" w:rsidDel="00000000" w:rsidP="00000000" w:rsidRDefault="00000000" w:rsidRPr="00000000" w14:paraId="00000058">
            <w:pPr>
              <w:shd w:fill="f2f2f2" w:val="clear"/>
              <w:jc w:val="center"/>
              <w:rPr>
                <w:sz w:val="20"/>
                <w:szCs w:val="20"/>
              </w:rPr>
            </w:pPr>
            <w:r w:rsidDel="00000000" w:rsidR="00000000" w:rsidRPr="00000000">
              <w:rPr>
                <w:sz w:val="20"/>
                <w:szCs w:val="20"/>
                <w:rtl w:val="0"/>
              </w:rPr>
              <w:t xml:space="preserve">2,000,409,200</w:t>
            </w:r>
          </w:p>
        </w:tc>
      </w:tr>
      <w:tr>
        <w:trPr>
          <w:cantSplit w:val="0"/>
          <w:trHeight w:val="351" w:hRule="atLeast"/>
          <w:tblHeader w:val="0"/>
        </w:trPr>
        <w:tc>
          <w:tcPr>
            <w:shd w:fill="f2f2f2" w:val="clear"/>
          </w:tcPr>
          <w:p w:rsidR="00000000" w:rsidDel="00000000" w:rsidP="00000000" w:rsidRDefault="00000000" w:rsidRPr="00000000" w14:paraId="00000059">
            <w:pPr>
              <w:shd w:fill="f2f2f2" w:val="clear"/>
              <w:jc w:val="center"/>
              <w:rPr/>
            </w:pPr>
            <w:r w:rsidDel="00000000" w:rsidR="00000000" w:rsidRPr="00000000">
              <w:rPr>
                <w:rtl w:val="0"/>
              </w:rPr>
            </w:r>
          </w:p>
        </w:tc>
        <w:tc>
          <w:tcPr>
            <w:shd w:fill="f2f2f2" w:val="clear"/>
          </w:tcPr>
          <w:p w:rsidR="00000000" w:rsidDel="00000000" w:rsidP="00000000" w:rsidRDefault="00000000" w:rsidRPr="00000000" w14:paraId="0000005A">
            <w:pPr>
              <w:shd w:fill="f2f2f2" w:val="clear"/>
              <w:jc w:val="center"/>
              <w:rPr>
                <w:sz w:val="20"/>
                <w:szCs w:val="20"/>
              </w:rPr>
            </w:pPr>
            <w:r w:rsidDel="00000000" w:rsidR="00000000" w:rsidRPr="00000000">
              <w:rPr>
                <w:sz w:val="20"/>
                <w:szCs w:val="20"/>
                <w:rtl w:val="0"/>
              </w:rPr>
              <w:t xml:space="preserve">Education spending as a     percentage of GDP</w:t>
            </w:r>
          </w:p>
        </w:tc>
        <w:tc>
          <w:tcPr>
            <w:shd w:fill="f2f2f2" w:val="clear"/>
          </w:tcPr>
          <w:p w:rsidR="00000000" w:rsidDel="00000000" w:rsidP="00000000" w:rsidRDefault="00000000" w:rsidRPr="00000000" w14:paraId="0000005B">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C">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D">
            <w:pPr>
              <w:shd w:fill="f2f2f2" w:val="clea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5E">
            <w:pPr>
              <w:shd w:fill="f2f2f2" w:val="clear"/>
              <w:jc w:val="center"/>
              <w:rPr>
                <w:sz w:val="20"/>
                <w:szCs w:val="20"/>
              </w:rPr>
            </w:pPr>
            <w:r w:rsidDel="00000000" w:rsidR="00000000" w:rsidRPr="00000000">
              <w:rPr>
                <w:rtl w:val="0"/>
              </w:rPr>
            </w:r>
          </w:p>
        </w:tc>
      </w:tr>
    </w:tbl>
    <w:p w:rsidR="00000000" w:rsidDel="00000000" w:rsidP="00000000" w:rsidRDefault="00000000" w:rsidRPr="00000000" w14:paraId="0000005F">
      <w:pPr>
        <w:ind w:left="0" w:firstLine="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769F"/>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80769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80769F"/>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0769F"/>
    <w:rPr>
      <w:rFonts w:ascii="Calibri" w:hAnsi="Calibri" w:cstheme="majorBidi" w:eastAsiaTheme="majorEastAsia"/>
      <w:b w:val="1"/>
      <w:color w:val="70ad47" w:themeColor="accent6"/>
      <w:sz w:val="40"/>
      <w:szCs w:val="32"/>
    </w:rPr>
  </w:style>
  <w:style w:type="character" w:styleId="Heading1Char" w:customStyle="1">
    <w:name w:val="Heading 1 Char"/>
    <w:basedOn w:val="DefaultParagraphFont"/>
    <w:link w:val="Heading1"/>
    <w:uiPriority w:val="9"/>
    <w:rsid w:val="0080769F"/>
    <w:rPr>
      <w:rFonts w:asciiTheme="majorHAnsi" w:cstheme="majorBidi" w:eastAsiaTheme="majorEastAsia" w:hAnsiTheme="majorHAnsi"/>
      <w:color w:val="2f5496" w:themeColor="accent1" w:themeShade="0000BF"/>
      <w:sz w:val="32"/>
      <w:szCs w:val="32"/>
      <w:lang w:eastAsia="en-GB"/>
    </w:rPr>
  </w:style>
  <w:style w:type="character" w:styleId="Strong">
    <w:name w:val="Strong"/>
    <w:basedOn w:val="DefaultParagraphFont"/>
    <w:uiPriority w:val="22"/>
    <w:qFormat w:val="1"/>
    <w:rsid w:val="0080769F"/>
    <w:rPr>
      <w:b w:val="1"/>
      <w:bCs w:val="1"/>
    </w:rPr>
  </w:style>
  <w:style w:type="table" w:styleId="TableGrid" w:customStyle="1">
    <w:name w:val="TableGrid"/>
    <w:rsid w:val="0080769F"/>
    <w:pPr>
      <w:spacing w:after="0" w:line="240" w:lineRule="auto"/>
    </w:pPr>
    <w:rPr>
      <w:rFonts w:eastAsiaTheme="minorEastAsia"/>
      <w:lang w:eastAsia="en-GB"/>
    </w:rPr>
    <w:tblPr>
      <w:tblCellMar>
        <w:top w:w="0.0" w:type="dxa"/>
        <w:left w:w="0.0" w:type="dxa"/>
        <w:bottom w:w="0.0" w:type="dxa"/>
        <w:right w:w="0.0" w:type="dxa"/>
      </w:tblCellMar>
    </w:tblPr>
  </w:style>
  <w:style w:type="paragraph" w:styleId="ListParagraph">
    <w:name w:val="List Paragraph"/>
    <w:basedOn w:val="Normal"/>
    <w:uiPriority w:val="34"/>
    <w:qFormat w:val="1"/>
    <w:rsid w:val="0080769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7.0" w:type="dxa"/>
        <w:left w:w="0.0" w:type="dxa"/>
        <w:bottom w:w="0.0" w:type="dxa"/>
        <w:right w:w="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k2vo+ybMXCqsypLehxcsFBXbZQ==">AMUW2mXKzAVuNyGac+w23E59dvWsq9GVMyd4/Nln48INhuqhfyXWEsYupR7U4Nnv1kN3YDkizs2M4M3jqc9XTTsFcdYXsom5UaJ7Fx5JLgYDvcpO6xh8Sqc=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2023-02-19T20:18:00Z</dcterms:created>
  <dc:creator>Jo Walker</dc:creator>
</cp:coreProperties>
</file>